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85439012"/>
      <w:bookmarkStart w:id="6" w:name="_Toc285439135"/>
      <w:bookmarkStart w:id="7" w:name="_Toc277669653"/>
      <w:bookmarkStart w:id="8" w:name="_Toc284498720"/>
      <w:bookmarkStart w:id="9" w:name="_Toc432841035"/>
      <w:bookmarkStart w:id="10" w:name="_Toc284351316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5"/>
    <w:bookmarkEnd w:id="6"/>
    <w:p w14:paraId="5C9DC979" w14:textId="2AD67653" w:rsidR="00194AA9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8091" w:history="1">
        <w:r w:rsidR="00194AA9" w:rsidRPr="001F6CBF">
          <w:rPr>
            <w:rStyle w:val="Lienhypertexte"/>
          </w:rPr>
          <w:t>ARTICLE 1.</w:t>
        </w:r>
        <w:r w:rsidR="00194AA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194AA9" w:rsidRPr="001F6CBF">
          <w:rPr>
            <w:rStyle w:val="Lienhypertexte"/>
          </w:rPr>
          <w:t>Prescriptions générales</w:t>
        </w:r>
        <w:r w:rsidR="00194AA9">
          <w:rPr>
            <w:webHidden/>
          </w:rPr>
          <w:tab/>
        </w:r>
        <w:r w:rsidR="00194AA9">
          <w:rPr>
            <w:webHidden/>
          </w:rPr>
          <w:fldChar w:fldCharType="begin"/>
        </w:r>
        <w:r w:rsidR="00194AA9">
          <w:rPr>
            <w:webHidden/>
          </w:rPr>
          <w:instrText xml:space="preserve"> PAGEREF _Toc221618091 \h </w:instrText>
        </w:r>
        <w:r w:rsidR="00194AA9">
          <w:rPr>
            <w:webHidden/>
          </w:rPr>
        </w:r>
        <w:r w:rsidR="00194AA9">
          <w:rPr>
            <w:webHidden/>
          </w:rPr>
          <w:fldChar w:fldCharType="separate"/>
        </w:r>
        <w:r w:rsidR="00194AA9">
          <w:rPr>
            <w:webHidden/>
          </w:rPr>
          <w:t>3</w:t>
        </w:r>
        <w:r w:rsidR="00194AA9">
          <w:rPr>
            <w:webHidden/>
          </w:rPr>
          <w:fldChar w:fldCharType="end"/>
        </w:r>
      </w:hyperlink>
    </w:p>
    <w:p w14:paraId="2C471DDF" w14:textId="3E21C321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092" w:history="1">
        <w:r w:rsidRPr="001F6CBF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51B19A" w14:textId="2927CA97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093" w:history="1">
        <w:r w:rsidRPr="001F6CBF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C1746A0" w14:textId="4183975C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094" w:history="1">
        <w:r w:rsidRPr="001F6CBF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FD2E42" w14:textId="47175956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095" w:history="1">
        <w:r w:rsidRPr="001F6CBF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E4746B" w14:textId="6FDF40C7" w:rsidR="00194AA9" w:rsidRDefault="00194A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096" w:history="1">
        <w:r w:rsidRPr="001F6CBF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F6CBF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152E991" w14:textId="6A7DECF1" w:rsidR="00194AA9" w:rsidRDefault="00194A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097" w:history="1">
        <w:r w:rsidRPr="001F6CBF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F6CBF">
          <w:rPr>
            <w:rStyle w:val="Lienhypertexte"/>
          </w:rPr>
          <w:t>En cas de groupement</w:t>
        </w:r>
        <w:r w:rsidRPr="001F6CBF">
          <w:rPr>
            <w:rStyle w:val="Lienhypertexte"/>
            <w:rFonts w:ascii="Calibri" w:hAnsi="Calibri" w:cs="Calibri"/>
          </w:rPr>
          <w:t> </w:t>
        </w:r>
        <w:r w:rsidRPr="001F6CBF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4D7181A" w14:textId="3EE19320" w:rsidR="00194AA9" w:rsidRDefault="00194A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098" w:history="1">
        <w:r w:rsidRPr="001F6CBF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F6CBF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AC45F4F" w14:textId="173370B4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099" w:history="1">
        <w:r w:rsidRPr="001F6CBF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A892694" w14:textId="348A658E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100" w:history="1">
        <w:r w:rsidRPr="001F6CBF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A99BD2E" w14:textId="7D5D7A8B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101" w:history="1">
        <w:r w:rsidRPr="001F6CBF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6FB5725" w14:textId="79CD3F84" w:rsidR="00194AA9" w:rsidRDefault="00194A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102" w:history="1">
        <w:r w:rsidRPr="001F6CBF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F6CBF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34ADA38" w14:textId="1EF50F19" w:rsidR="00194AA9" w:rsidRDefault="00194A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8103" w:history="1">
        <w:r w:rsidRPr="001F6CBF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1F6CBF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9A25D87" w14:textId="1F5B6219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104" w:history="1">
        <w:r w:rsidRPr="001F6CBF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4EACCF2" w14:textId="3E14E117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105" w:history="1">
        <w:r w:rsidRPr="001F6CBF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EC55600" w14:textId="7F26A71B" w:rsidR="00194AA9" w:rsidRDefault="00194A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8106" w:history="1">
        <w:r w:rsidRPr="001F6CBF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1F6CBF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_Toc221618106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03812209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8091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8092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394DDA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à l’ensemble du marché ou de l’accord-cadre</w:t>
      </w:r>
    </w:p>
    <w:p w14:paraId="215C97E8" w14:textId="3475FE40" w:rsidR="00C02D3A" w:rsidRPr="00C02D3A" w:rsidRDefault="00394DDA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au lot n°</w:t>
      </w:r>
      <w:r w:rsidR="00870392" w:rsidRPr="00870392">
        <w:rPr>
          <w:rFonts w:ascii="Marianne" w:hAnsi="Marianne" w:cs="Arial"/>
          <w:b/>
          <w:bCs/>
        </w:rPr>
        <w:t>0</w:t>
      </w:r>
      <w:r w:rsidR="009A1528">
        <w:rPr>
          <w:rFonts w:ascii="Marianne" w:hAnsi="Marianne" w:cs="Arial"/>
          <w:b/>
          <w:bCs/>
        </w:rPr>
        <w:t>5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2752FBB0" w:rsidR="00C02D3A" w:rsidRPr="00870392" w:rsidRDefault="009A1528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Système de sécurité incendie (SSI)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3A0B7FD6" w:rsidR="00C02D3A" w:rsidRDefault="00394DDA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r w:rsidR="00C02D3A" w:rsidRPr="00C02D3A">
        <w:rPr>
          <w:rFonts w:cs="Arial"/>
        </w:rPr>
        <w:t>à l’offre de base</w:t>
      </w:r>
    </w:p>
    <w:p w14:paraId="5C8104C1" w14:textId="676B592F" w:rsidR="00870392" w:rsidRDefault="00870392" w:rsidP="003219C5">
      <w:pPr>
        <w:spacing w:after="60"/>
        <w:ind w:firstLine="567"/>
        <w:rPr>
          <w:rFonts w:cs="Arial"/>
        </w:rPr>
      </w:pPr>
      <w:r>
        <w:rPr>
          <w:rFonts w:cs="Arial"/>
        </w:rPr>
        <w:t>Complémentée de</w:t>
      </w:r>
      <w:r w:rsidR="009A1528">
        <w:rPr>
          <w:rFonts w:cs="Arial"/>
        </w:rPr>
        <w:t xml:space="preserve"> la</w:t>
      </w:r>
      <w:r>
        <w:rPr>
          <w:rFonts w:cs="Arial"/>
        </w:rPr>
        <w:t xml:space="preserve"> PSE suivante*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7D7C8BC5" w14:textId="18ADABB9" w:rsidR="00870392" w:rsidRDefault="00394DDA" w:rsidP="009A1528">
      <w:pPr>
        <w:spacing w:after="120"/>
        <w:ind w:firstLine="567"/>
        <w:rPr>
          <w:rFonts w:cs="Arial"/>
        </w:rPr>
      </w:pPr>
      <w:sdt>
        <w:sdtPr>
          <w:rPr>
            <w:rFonts w:cs="Arial"/>
          </w:rPr>
          <w:id w:val="781079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9A1528">
        <w:rPr>
          <w:rFonts w:cs="Arial"/>
        </w:rPr>
        <w:t>5</w:t>
      </w:r>
      <w:r w:rsidR="00870392">
        <w:rPr>
          <w:rFonts w:cs="Arial"/>
        </w:rPr>
        <w:t>.1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9A1528">
        <w:rPr>
          <w:rFonts w:cs="Arial"/>
        </w:rPr>
        <w:t>Clapet coupe-feu</w:t>
      </w:r>
    </w:p>
    <w:p w14:paraId="0E48DD99" w14:textId="7937A646" w:rsidR="00870392" w:rsidRPr="003219C5" w:rsidRDefault="00870392" w:rsidP="00126CB8">
      <w:pPr>
        <w:rPr>
          <w:rFonts w:cs="Arial"/>
          <w:i/>
          <w:iCs/>
        </w:rPr>
      </w:pPr>
      <w:r w:rsidRPr="003219C5">
        <w:rPr>
          <w:rFonts w:cs="Arial"/>
          <w:i/>
          <w:iCs/>
        </w:rPr>
        <w:t>(*) Les PSE étant obligatoire</w:t>
      </w:r>
      <w:r w:rsidR="003219C5" w:rsidRPr="003219C5">
        <w:rPr>
          <w:rFonts w:cs="Arial"/>
          <w:i/>
          <w:iCs/>
        </w:rPr>
        <w:t>s</w:t>
      </w:r>
      <w:r w:rsidRPr="003219C5">
        <w:rPr>
          <w:rFonts w:cs="Arial"/>
          <w:i/>
          <w:iCs/>
        </w:rPr>
        <w:t>, toute offre ne les présentant pas sera déclarée irrégul</w:t>
      </w:r>
      <w:r w:rsidR="003219C5" w:rsidRPr="003219C5">
        <w:rPr>
          <w:rFonts w:cs="Arial"/>
          <w:i/>
          <w:iCs/>
        </w:rPr>
        <w:t>ière.</w:t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8093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8094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8095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8096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394DDA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46023556" w:rsidR="003648F7" w:rsidRPr="004226F4" w:rsidRDefault="00394DDA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9A1528">
        <w:rPr>
          <w:rFonts w:cs="Arial"/>
        </w:rPr>
        <w:t>5</w:t>
      </w:r>
    </w:p>
    <w:p w14:paraId="0F85035E" w14:textId="1054B469" w:rsidR="003648F7" w:rsidRPr="004226F4" w:rsidRDefault="00394DDA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et conformément à leurs clauses,</w:t>
      </w:r>
    </w:p>
    <w:p w14:paraId="77671512" w14:textId="77777777" w:rsidR="003648F7" w:rsidRPr="003449D0" w:rsidRDefault="00394DDA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394DDA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s’engage, sur la base de son offre et pour son propre compte ;</w:t>
      </w:r>
    </w:p>
    <w:p w14:paraId="4832835C" w14:textId="41000216" w:rsidR="003648F7" w:rsidRPr="003449D0" w:rsidRDefault="00394DDA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 xml:space="preserve">engage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394DDA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nom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adresses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adresse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lastRenderedPageBreak/>
        <w:t>numéro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numéro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r w:rsidRPr="003449D0">
        <w:rPr>
          <w:rFonts w:cs="Arial"/>
          <w:b/>
        </w:rPr>
        <w:t>numéro</w:t>
      </w:r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à exécuter les prestations demandées :</w:t>
      </w:r>
    </w:p>
    <w:p w14:paraId="31478168" w14:textId="77777777" w:rsidR="003648F7" w:rsidRPr="003449D0" w:rsidRDefault="00394DDA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dans les délais indiqués dans le mémoire technique</w:t>
      </w:r>
    </w:p>
    <w:p w14:paraId="1F3C4DAC" w14:textId="34A98067" w:rsidR="003648F7" w:rsidRPr="003449D0" w:rsidRDefault="00394DDA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aux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11199697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offre de base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(à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2BD5C00C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</w:t>
      </w:r>
      <w:r w:rsidR="0045277C">
        <w:rPr>
          <w:rFonts w:ascii="Arial" w:hAnsi="Arial" w:cs="Arial"/>
          <w:b/>
        </w:rPr>
        <w:t>L</w:t>
      </w:r>
      <w:r w:rsidR="009A1528">
        <w:rPr>
          <w:rFonts w:ascii="Arial" w:hAnsi="Arial" w:cs="Arial"/>
          <w:b/>
        </w:rPr>
        <w:t>5</w:t>
      </w:r>
      <w:r w:rsidR="0045277C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9A1528">
        <w:rPr>
          <w:rFonts w:ascii="Arial" w:hAnsi="Arial" w:cs="Arial"/>
          <w:b/>
        </w:rPr>
        <w:t>Clapet coupe-feu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(à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44D4A01" w14:textId="6F652A19" w:rsidR="004C6FB3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8097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394DDA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conjoint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>du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lastRenderedPageBreak/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8098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8099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394DDA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8100"/>
      <w:bookmarkEnd w:id="7"/>
      <w:bookmarkEnd w:id="8"/>
      <w:bookmarkEnd w:id="9"/>
      <w:bookmarkEnd w:id="10"/>
      <w:r>
        <w:t>Nomenclature</w:t>
      </w:r>
      <w:bookmarkEnd w:id="21"/>
    </w:p>
    <w:p w14:paraId="74F2A824" w14:textId="68927CB1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 xml:space="preserve">La classification </w:t>
      </w:r>
      <w:r w:rsidR="008D4758">
        <w:rPr>
          <w:lang w:eastAsia="fr-FR"/>
        </w:rPr>
        <w:t xml:space="preserve">principale du </w:t>
      </w:r>
      <w:r w:rsidR="000A3140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149DA2C4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 princip</w:t>
            </w:r>
            <w:r w:rsidR="000A3140">
              <w:rPr>
                <w:lang w:eastAsia="fr-FR"/>
              </w:rPr>
              <w:t>al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A75A09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0B67C968" w14:textId="1DA22A2B" w:rsidR="0030406C" w:rsidRPr="009A1528" w:rsidRDefault="009A1528" w:rsidP="009A1528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45343000-3</w:t>
            </w:r>
          </w:p>
        </w:tc>
        <w:tc>
          <w:tcPr>
            <w:tcW w:w="5528" w:type="dxa"/>
            <w:vAlign w:val="center"/>
          </w:tcPr>
          <w:p w14:paraId="27A64711" w14:textId="1083BC86" w:rsidR="0030406C" w:rsidRDefault="009A1528" w:rsidP="007E1118">
            <w:pPr>
              <w:spacing w:after="0"/>
              <w:jc w:val="left"/>
              <w:rPr>
                <w:lang w:eastAsia="fr-FR"/>
              </w:rPr>
            </w:pPr>
            <w:r>
              <w:rPr>
                <w:rFonts w:cs="Arial"/>
                <w:lang w:eastAsia="fr-FR" w:bidi="ar-SA"/>
              </w:rPr>
              <w:t>Travaux d’installation de dispositifs de prévention contre les incendies</w:t>
            </w:r>
          </w:p>
        </w:tc>
      </w:tr>
    </w:tbl>
    <w:p w14:paraId="6E9000C4" w14:textId="5BC82597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lastRenderedPageBreak/>
        <w:t xml:space="preserve">  </w:t>
      </w:r>
      <w:bookmarkStart w:id="22" w:name="_Toc221618101"/>
      <w:r w:rsidR="00D9493B" w:rsidRPr="006D00A3">
        <w:rPr>
          <w:spacing w:val="-7"/>
        </w:rPr>
        <w:t xml:space="preserve">Signature </w:t>
      </w:r>
      <w:r w:rsidR="00364A3A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01145952" w:rsidR="00D9493B" w:rsidRDefault="00D9493B" w:rsidP="00D9493B">
      <w:pPr>
        <w:pStyle w:val="Titre2"/>
      </w:pPr>
      <w:bookmarkStart w:id="23" w:name="_Toc221618102"/>
      <w:r>
        <w:t xml:space="preserve">Signature </w:t>
      </w:r>
      <w:r w:rsidR="00364A3A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6481AC29" w:rsidR="00D9493B" w:rsidRDefault="00D9493B" w:rsidP="00D9493B">
      <w:pPr>
        <w:pStyle w:val="Titre2"/>
      </w:pPr>
      <w:bookmarkStart w:id="24" w:name="_Toc221618103"/>
      <w:r>
        <w:t xml:space="preserve">Signature </w:t>
      </w:r>
      <w:r w:rsidR="00364A3A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394DDA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conjoint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394DDA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394DDA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pour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(joindre les pouvoirs en annexe du présent document.)</w:t>
      </w:r>
    </w:p>
    <w:p w14:paraId="7F0F432D" w14:textId="77777777" w:rsidR="00D9493B" w:rsidRPr="003449D0" w:rsidRDefault="00394DDA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pour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(joindre les pouvoirs en annexe du présent document.)</w:t>
      </w:r>
    </w:p>
    <w:p w14:paraId="639B77E7" w14:textId="77777777" w:rsidR="00D9493B" w:rsidRPr="003449D0" w:rsidRDefault="00394DDA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ont donné mandat au mandataire dans les conditions définies par les pouvoirs joints en annexe.</w:t>
      </w:r>
    </w:p>
    <w:p w14:paraId="5E53BEF8" w14:textId="1395B613" w:rsidR="00D9493B" w:rsidRPr="003449D0" w:rsidRDefault="00394DDA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394DDA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394DDA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394DDA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lastRenderedPageBreak/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8104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1F27E25" w14:textId="70ACD4CB" w:rsidR="00BA339C" w:rsidRDefault="00BA339C" w:rsidP="0063233C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316C63BC" w14:textId="226CED5C" w:rsidR="0063233C" w:rsidRDefault="00394DDA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-115544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63233C" w:rsidRPr="003449D0">
        <w:rPr>
          <w:rFonts w:cs="Arial"/>
        </w:rPr>
        <w:t xml:space="preserve"> </w:t>
      </w:r>
      <w:r w:rsidR="0063233C">
        <w:rPr>
          <w:rFonts w:cs="Arial"/>
        </w:rPr>
        <w:t>La PSE n°</w:t>
      </w:r>
      <w:r w:rsidR="004639EF">
        <w:rPr>
          <w:rFonts w:cs="Arial"/>
        </w:rPr>
        <w:t xml:space="preserve"> L</w:t>
      </w:r>
      <w:r w:rsidR="009A1528">
        <w:rPr>
          <w:rFonts w:cs="Arial"/>
        </w:rPr>
        <w:t>5</w:t>
      </w:r>
      <w:r w:rsidR="004639EF">
        <w:rPr>
          <w:rFonts w:cs="Arial"/>
        </w:rPr>
        <w:t>.1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434380B0" w:rsidR="00BA339C" w:rsidRDefault="00BA339C" w:rsidP="00BA339C">
      <w:pPr>
        <w:pStyle w:val="Titre1"/>
      </w:pPr>
      <w:bookmarkStart w:id="26" w:name="_Toc221618105"/>
      <w:r>
        <w:lastRenderedPageBreak/>
        <w:t xml:space="preserve">Notification </w:t>
      </w:r>
      <w:r w:rsidR="00364A3A">
        <w:t>du marché</w:t>
      </w:r>
      <w:bookmarkEnd w:id="26"/>
    </w:p>
    <w:p w14:paraId="1160C06F" w14:textId="4FEF397A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364A3A">
        <w:rPr>
          <w:rFonts w:cs="Arial"/>
        </w:rPr>
        <w:t>de marché en</w:t>
      </w:r>
      <w:r w:rsidRPr="003449D0">
        <w:rPr>
          <w:rFonts w:cs="Arial"/>
        </w:rPr>
        <w:t xml:space="preserve"> </w:t>
      </w:r>
      <w:r w:rsidR="00364A3A">
        <w:rPr>
          <w:rFonts w:cs="Arial"/>
        </w:rPr>
        <w:t>marché</w:t>
      </w:r>
      <w:r w:rsidRPr="003449D0">
        <w:rPr>
          <w:rFonts w:cs="Arial"/>
        </w:rPr>
        <w:t xml:space="preserve"> et le candidat en titulaire. Elle consiste en la remise d’une copie </w:t>
      </w:r>
      <w:r w:rsidR="00364A3A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47C3283B" w14:textId="3A87E964" w:rsidR="004A3BE3" w:rsidRDefault="00BA339C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 w:rsidRPr="003449D0">
        <w:rPr>
          <w:rFonts w:cs="Arial"/>
        </w:rPr>
        <w:t xml:space="preserve">Cette remise sera opérée par mail avec accusé réception via la Plateforme des Achats de l’État (PLACE). La réception du mail vaut notification </w:t>
      </w:r>
      <w:r w:rsidR="00364A3A">
        <w:rPr>
          <w:rFonts w:cs="Arial"/>
        </w:rPr>
        <w:t>du marché</w:t>
      </w:r>
      <w:r w:rsidRPr="003449D0">
        <w:rPr>
          <w:rFonts w:cs="Arial"/>
        </w:rPr>
        <w:t>.</w:t>
      </w:r>
    </w:p>
    <w:p w14:paraId="42B332D6" w14:textId="77777777" w:rsidR="004A3BE3" w:rsidRDefault="004A3BE3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8106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394DDA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394DDA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394DDA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394DDA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394DDA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394DDA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76560" w14:textId="77777777" w:rsidR="00394DDA" w:rsidRDefault="00394DDA" w:rsidP="00FF3D96">
      <w:pPr>
        <w:spacing w:after="0" w:line="240" w:lineRule="auto"/>
      </w:pPr>
      <w:r>
        <w:separator/>
      </w:r>
    </w:p>
  </w:endnote>
  <w:endnote w:type="continuationSeparator" w:id="0">
    <w:p w14:paraId="5D761715" w14:textId="77777777" w:rsidR="00394DDA" w:rsidRDefault="00394DDA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  <w:t>Tél.: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7F34" w14:textId="77777777" w:rsidR="00394DDA" w:rsidRDefault="00394DDA" w:rsidP="00FF3D96">
      <w:pPr>
        <w:spacing w:after="0" w:line="240" w:lineRule="auto"/>
      </w:pPr>
      <w:r>
        <w:separator/>
      </w:r>
    </w:p>
  </w:footnote>
  <w:footnote w:type="continuationSeparator" w:id="0">
    <w:p w14:paraId="6157102B" w14:textId="77777777" w:rsidR="00394DDA" w:rsidRDefault="00394DDA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A3140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94AA9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79E0"/>
    <w:rsid w:val="00220856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406C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4A3A"/>
    <w:rsid w:val="0036534D"/>
    <w:rsid w:val="00367919"/>
    <w:rsid w:val="00370FFA"/>
    <w:rsid w:val="00375963"/>
    <w:rsid w:val="0037653E"/>
    <w:rsid w:val="0037690F"/>
    <w:rsid w:val="00376B4B"/>
    <w:rsid w:val="00377D4E"/>
    <w:rsid w:val="00380604"/>
    <w:rsid w:val="00381D49"/>
    <w:rsid w:val="00382469"/>
    <w:rsid w:val="00384C2C"/>
    <w:rsid w:val="003868D7"/>
    <w:rsid w:val="00386F3A"/>
    <w:rsid w:val="0038797C"/>
    <w:rsid w:val="0039091D"/>
    <w:rsid w:val="00394DDA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FB5"/>
    <w:rsid w:val="00422320"/>
    <w:rsid w:val="004226F4"/>
    <w:rsid w:val="00424CA6"/>
    <w:rsid w:val="00424DF1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4048"/>
    <w:rsid w:val="0052763B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30FC"/>
    <w:rsid w:val="005B3229"/>
    <w:rsid w:val="005B4CC4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707A"/>
    <w:rsid w:val="00701062"/>
    <w:rsid w:val="0070190C"/>
    <w:rsid w:val="0070254D"/>
    <w:rsid w:val="00702F19"/>
    <w:rsid w:val="00704B39"/>
    <w:rsid w:val="00705671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1528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6C1E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17E34"/>
    <w:rsid w:val="00A201F2"/>
    <w:rsid w:val="00A2388C"/>
    <w:rsid w:val="00A2440D"/>
    <w:rsid w:val="00A245A7"/>
    <w:rsid w:val="00A305AC"/>
    <w:rsid w:val="00A30814"/>
    <w:rsid w:val="00A35251"/>
    <w:rsid w:val="00A40F96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B5F"/>
    <w:rsid w:val="00AD40CE"/>
    <w:rsid w:val="00AD49A6"/>
    <w:rsid w:val="00AD53FC"/>
    <w:rsid w:val="00AE6AC2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6B4"/>
    <w:rsid w:val="00DD58C9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458C"/>
    <w:rsid w:val="00E459CE"/>
    <w:rsid w:val="00E477C6"/>
    <w:rsid w:val="00E530CA"/>
    <w:rsid w:val="00E577A7"/>
    <w:rsid w:val="00E609E1"/>
    <w:rsid w:val="00E635D6"/>
    <w:rsid w:val="00E6372D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3F4D"/>
    <w:rsid w:val="00F058A9"/>
    <w:rsid w:val="00F06A0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1694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10996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17</cp:revision>
  <cp:lastPrinted>2023-09-04T13:20:00Z</cp:lastPrinted>
  <dcterms:created xsi:type="dcterms:W3CDTF">2026-01-30T11:06:00Z</dcterms:created>
  <dcterms:modified xsi:type="dcterms:W3CDTF">2026-02-10T11:14:00Z</dcterms:modified>
</cp:coreProperties>
</file>